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7F" w:rsidRDefault="00AF08C5">
      <w:pPr>
        <w:pStyle w:val="1"/>
        <w:wordWrap w:val="0"/>
        <w:spacing w:before="0" w:after="0" w:line="240" w:lineRule="auto"/>
        <w:rPr>
          <w:b w:val="0"/>
          <w:bCs w:val="0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99347F" w:rsidRDefault="00AF08C5">
      <w:pPr>
        <w:wordWrap w:val="0"/>
        <w:spacing w:line="440" w:lineRule="exact"/>
        <w:jc w:val="center"/>
        <w:rPr>
          <w:rFonts w:ascii="黑体" w:eastAsia="黑体"/>
          <w:b/>
          <w:bCs/>
          <w:kern w:val="0"/>
          <w:sz w:val="30"/>
          <w:szCs w:val="30"/>
        </w:rPr>
      </w:pPr>
      <w:r>
        <w:rPr>
          <w:rFonts w:ascii="黑体" w:eastAsia="黑体" w:cs="黑体" w:hint="eastAsia"/>
          <w:b/>
          <w:bCs/>
          <w:kern w:val="0"/>
          <w:sz w:val="30"/>
          <w:szCs w:val="30"/>
        </w:rPr>
        <w:t>教育教学研究项目结题验收评审指标</w:t>
      </w:r>
    </w:p>
    <w:tbl>
      <w:tblPr>
        <w:tblW w:w="10152" w:type="dxa"/>
        <w:jc w:val="center"/>
        <w:tblInd w:w="-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823"/>
        <w:gridCol w:w="2658"/>
        <w:gridCol w:w="2156"/>
        <w:gridCol w:w="1974"/>
        <w:gridCol w:w="627"/>
      </w:tblGrid>
      <w:tr w:rsidR="0099347F" w:rsidTr="009E0FFF">
        <w:trPr>
          <w:trHeight w:val="454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</w:tcBorders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Style w:val="content"/>
                <w:rFonts w:cs="宋体" w:hint="eastAsia"/>
                <w:b/>
                <w:bCs/>
              </w:rPr>
              <w:t>一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级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</w:tcBorders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gridSpan w:val="3"/>
            <w:tcBorders>
              <w:top w:val="single" w:sz="8" w:space="0" w:color="auto"/>
            </w:tcBorders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评分内容及等级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</w:tcBorders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分项</w:t>
            </w:r>
            <w:r>
              <w:rPr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99347F" w:rsidRDefault="00AF08C5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得分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  <w:tr w:rsidR="0099347F" w:rsidTr="009E0FFF">
        <w:trPr>
          <w:trHeight w:val="454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2113" w:type="dxa"/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B </w:t>
            </w:r>
          </w:p>
        </w:tc>
        <w:tc>
          <w:tcPr>
            <w:tcW w:w="1934" w:type="dxa"/>
            <w:vAlign w:val="center"/>
          </w:tcPr>
          <w:p w:rsidR="0099347F" w:rsidRDefault="00AF08C5">
            <w:pPr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 xml:space="preserve">C </w:t>
            </w:r>
          </w:p>
        </w:tc>
        <w:tc>
          <w:tcPr>
            <w:tcW w:w="614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907"/>
          <w:jc w:val="center"/>
        </w:trPr>
        <w:tc>
          <w:tcPr>
            <w:tcW w:w="896" w:type="dxa"/>
            <w:vMerge w:val="restart"/>
            <w:vAlign w:val="center"/>
          </w:tcPr>
          <w:p w:rsidR="0099347F" w:rsidRDefault="00AF08C5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项目方案及其完成情况</w:t>
            </w:r>
          </w:p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60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任务目标及完成情况（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完成了预期任务；出台了好的改革措施、方案或相关的改革文献（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完成了预期任务；有具体的改革措施</w:t>
            </w:r>
          </w:p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未能完成预期目标；没有可行的改革举措（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915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改革内容与关键问题解决情况（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内容充分、详实，妥善地解决了改革中的问题</w:t>
            </w:r>
          </w:p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按照立项申请，解决了改革中的关键问题（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内容不充分，没有解决关键问题</w:t>
            </w:r>
          </w:p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618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采用的研究方法与手段（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研究方法与手段先进，有创新（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研究方法与手段适切（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不可行或存在错误（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1970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规范性（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研究体系完整系统；研究设计与实施规范严格；论述全面，概念明确，逻辑严密；资料可靠、系统，引证规范（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研究体系框架基本完整；研究设计与实施基本规范；主要概念明确，条理基本清晰；材料基本可靠，引证基本规范</w:t>
            </w:r>
          </w:p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研究体系混乱；研究设计与实施明显欠缺；概念不明确，条理不清晰，逻辑混乱；材料有明显遗漏或错误，引证不规范（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1586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难易程度（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研究的问题复杂，工作难度很大；调查或实验工作量很大；资料的收集与处理工作量很大（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研究的问题较复杂，有一定难度；有一定调查或实验工作量；有一定资料的收集与处理工作量</w:t>
            </w:r>
          </w:p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研究的问题不复杂，工作难度小；调查或实验工作量很小；资料的收集与处理工作量很小（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982"/>
          <w:jc w:val="center"/>
        </w:trPr>
        <w:tc>
          <w:tcPr>
            <w:tcW w:w="896" w:type="dxa"/>
            <w:vMerge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实践效果（</w:t>
            </w: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经过实践，且有充分证据证明取得了良好的效果，受益面大（</w:t>
            </w:r>
            <w:r>
              <w:rPr>
                <w:kern w:val="0"/>
                <w:sz w:val="24"/>
                <w:szCs w:val="24"/>
              </w:rPr>
              <w:t>8- 10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经过实践验证，有证据说明成效，受益面较大（</w:t>
            </w:r>
            <w:r>
              <w:rPr>
                <w:kern w:val="0"/>
                <w:sz w:val="24"/>
                <w:szCs w:val="24"/>
              </w:rPr>
              <w:t>4-7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没有实践安排和实践效果（</w:t>
            </w:r>
            <w:r>
              <w:rPr>
                <w:kern w:val="0"/>
                <w:sz w:val="24"/>
                <w:szCs w:val="24"/>
              </w:rPr>
              <w:t>0-4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882"/>
          <w:jc w:val="center"/>
        </w:trPr>
        <w:tc>
          <w:tcPr>
            <w:tcW w:w="896" w:type="dxa"/>
            <w:vMerge w:val="restart"/>
            <w:vAlign w:val="center"/>
          </w:tcPr>
          <w:p w:rsidR="0099347F" w:rsidRDefault="00AF08C5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推广应用价值</w:t>
            </w:r>
          </w:p>
          <w:p w:rsidR="0099347F" w:rsidRDefault="00AF08C5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40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786" w:type="dxa"/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创新性（</w:t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有明显的创新，特色鲜明</w:t>
            </w: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>16- 20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13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有一定的开创性，形成了比较新的教育成果（</w:t>
            </w:r>
            <w:r>
              <w:rPr>
                <w:kern w:val="0"/>
                <w:sz w:val="24"/>
                <w:szCs w:val="24"/>
              </w:rPr>
              <w:t>8-14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34" w:type="dxa"/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研究结论缺乏新意，没有形成新的教育成果（</w:t>
            </w:r>
            <w:r>
              <w:rPr>
                <w:kern w:val="0"/>
                <w:sz w:val="24"/>
                <w:szCs w:val="24"/>
              </w:rPr>
              <w:t>0-8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14" w:type="dxa"/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  <w:tr w:rsidR="0099347F" w:rsidTr="009E0FFF">
        <w:trPr>
          <w:trHeight w:val="340"/>
          <w:jc w:val="center"/>
        </w:trPr>
        <w:tc>
          <w:tcPr>
            <w:tcW w:w="896" w:type="dxa"/>
            <w:vMerge/>
            <w:tcBorders>
              <w:bottom w:val="single" w:sz="8" w:space="0" w:color="auto"/>
            </w:tcBorders>
            <w:vAlign w:val="center"/>
          </w:tcPr>
          <w:p w:rsidR="0099347F" w:rsidRDefault="0099347F"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应用价值（</w:t>
            </w: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605" w:type="dxa"/>
            <w:tcBorders>
              <w:bottom w:val="single" w:sz="8" w:space="0" w:color="auto"/>
            </w:tcBorders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成果有明显的前沿性和开创性，对教育教学有重要的引领作用；成果对解决重大教育决策问题有重要作用；对解决教育实践问题有创新性指导意义，有广泛的应用前景（</w:t>
            </w:r>
            <w:r>
              <w:rPr>
                <w:kern w:val="0"/>
                <w:sz w:val="24"/>
                <w:szCs w:val="24"/>
              </w:rPr>
              <w:t>16- 20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2113" w:type="dxa"/>
            <w:tcBorders>
              <w:bottom w:val="single" w:sz="8" w:space="0" w:color="auto"/>
            </w:tcBorders>
          </w:tcPr>
          <w:p w:rsidR="0099347F" w:rsidRDefault="00AF08C5">
            <w:pPr>
              <w:spacing w:line="240" w:lineRule="auto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成果有一定的</w:t>
            </w: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的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</w:rPr>
              <w:t>前沿性和开创性，对教育教学有推进作用；成果对解决一般性教育决策问题有推进作用；对解决教育实践问题有指导意义，有一定的应用前景（</w:t>
            </w:r>
            <w:r>
              <w:rPr>
                <w:kern w:val="0"/>
                <w:sz w:val="24"/>
                <w:szCs w:val="24"/>
              </w:rPr>
              <w:t>8-14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934" w:type="dxa"/>
            <w:tcBorders>
              <w:bottom w:val="single" w:sz="8" w:space="0" w:color="auto"/>
            </w:tcBorders>
          </w:tcPr>
          <w:p w:rsidR="0099347F" w:rsidRDefault="00AF08C5">
            <w:pPr>
              <w:spacing w:line="240" w:lineRule="auto"/>
              <w:jc w:val="both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成果无创新，对教育教学</w:t>
            </w: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无促进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</w:rPr>
              <w:t>作用；成果对解决重大教育决策问题</w:t>
            </w: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无促进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</w:rPr>
              <w:t>作用；对解决教育实践问题</w:t>
            </w:r>
            <w:proofErr w:type="gramStart"/>
            <w:r>
              <w:rPr>
                <w:rFonts w:cs="宋体" w:hint="eastAsia"/>
                <w:kern w:val="0"/>
                <w:sz w:val="24"/>
                <w:szCs w:val="24"/>
              </w:rPr>
              <w:t>无促进</w:t>
            </w:r>
            <w:proofErr w:type="gramEnd"/>
            <w:r>
              <w:rPr>
                <w:rFonts w:cs="宋体" w:hint="eastAsia"/>
                <w:kern w:val="0"/>
                <w:sz w:val="24"/>
                <w:szCs w:val="24"/>
              </w:rPr>
              <w:t>作用，应用前景差（</w:t>
            </w:r>
            <w:r>
              <w:rPr>
                <w:kern w:val="0"/>
                <w:sz w:val="24"/>
                <w:szCs w:val="24"/>
              </w:rPr>
              <w:t>0-8</w:t>
            </w:r>
            <w:r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14" w:type="dxa"/>
            <w:tcBorders>
              <w:bottom w:val="single" w:sz="8" w:space="0" w:color="auto"/>
            </w:tcBorders>
            <w:vAlign w:val="center"/>
          </w:tcPr>
          <w:p w:rsidR="0099347F" w:rsidRDefault="0099347F">
            <w:pPr>
              <w:spacing w:line="240" w:lineRule="auto"/>
              <w:rPr>
                <w:kern w:val="0"/>
                <w:sz w:val="24"/>
                <w:szCs w:val="24"/>
              </w:rPr>
            </w:pPr>
          </w:p>
        </w:tc>
      </w:tr>
    </w:tbl>
    <w:p w:rsidR="0099347F" w:rsidRDefault="0099347F">
      <w:pPr>
        <w:pStyle w:val="ac"/>
        <w:wordWrap w:val="0"/>
        <w:spacing w:before="0" w:beforeAutospacing="0" w:after="0" w:afterAutospacing="0" w:line="6" w:lineRule="atLeast"/>
        <w:rPr>
          <w:rFonts w:cs="Times New Roman"/>
          <w:shd w:val="clear" w:color="auto" w:fill="FFFFFF"/>
        </w:rPr>
      </w:pPr>
      <w:bookmarkStart w:id="0" w:name="_GoBack"/>
      <w:bookmarkEnd w:id="0"/>
    </w:p>
    <w:sectPr w:rsidR="0099347F">
      <w:footerReference w:type="default" r:id="rId8"/>
      <w:pgSz w:w="11906" w:h="16838"/>
      <w:pgMar w:top="1440" w:right="1531" w:bottom="1440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C5" w:rsidRDefault="00AF08C5">
      <w:pPr>
        <w:spacing w:line="240" w:lineRule="auto"/>
      </w:pPr>
      <w:r>
        <w:separator/>
      </w:r>
    </w:p>
  </w:endnote>
  <w:endnote w:type="continuationSeparator" w:id="0">
    <w:p w:rsidR="00AF08C5" w:rsidRDefault="00AF0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7F" w:rsidRDefault="0099347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C5" w:rsidRDefault="00AF08C5">
      <w:pPr>
        <w:spacing w:line="240" w:lineRule="auto"/>
      </w:pPr>
      <w:r>
        <w:separator/>
      </w:r>
    </w:p>
  </w:footnote>
  <w:footnote w:type="continuationSeparator" w:id="0">
    <w:p w:rsidR="00AF08C5" w:rsidRDefault="00AF08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9347F"/>
    <w:rsid w:val="009B1505"/>
    <w:rsid w:val="009B2727"/>
    <w:rsid w:val="009C2F92"/>
    <w:rsid w:val="009C3BEF"/>
    <w:rsid w:val="009E016F"/>
    <w:rsid w:val="009E0FFF"/>
    <w:rsid w:val="009F1B95"/>
    <w:rsid w:val="00A00D40"/>
    <w:rsid w:val="00A23769"/>
    <w:rsid w:val="00A3160A"/>
    <w:rsid w:val="00A37A36"/>
    <w:rsid w:val="00A405CD"/>
    <w:rsid w:val="00A76F8A"/>
    <w:rsid w:val="00A84E5F"/>
    <w:rsid w:val="00AB2C4B"/>
    <w:rsid w:val="00AB6720"/>
    <w:rsid w:val="00AE1848"/>
    <w:rsid w:val="00AE41C6"/>
    <w:rsid w:val="00AE5EC8"/>
    <w:rsid w:val="00AF05E9"/>
    <w:rsid w:val="00AF08C5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F2380"/>
    <w:rsid w:val="00DF783A"/>
    <w:rsid w:val="00E36616"/>
    <w:rsid w:val="00E41DD1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3</cp:revision>
  <cp:lastPrinted>2017-03-08T04:21:00Z</cp:lastPrinted>
  <dcterms:created xsi:type="dcterms:W3CDTF">2017-04-20T00:49:00Z</dcterms:created>
  <dcterms:modified xsi:type="dcterms:W3CDTF">2017-04-20T00:52:00Z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